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0A" w:rsidRDefault="005F640A">
      <w:pPr>
        <w:pStyle w:val="BodyText"/>
        <w:rPr>
          <w:rFonts w:ascii="Times New Roman"/>
          <w:sz w:val="20"/>
        </w:rPr>
      </w:pPr>
    </w:p>
    <w:p w:rsidR="005F640A" w:rsidRDefault="005F640A">
      <w:pPr>
        <w:pStyle w:val="BodyText"/>
        <w:spacing w:before="7"/>
        <w:rPr>
          <w:rFonts w:ascii="Times New Roman"/>
        </w:rPr>
      </w:pPr>
    </w:p>
    <w:p w:rsidR="005F640A" w:rsidRPr="00A23BB1" w:rsidRDefault="00E8180B" w:rsidP="00A23BB1">
      <w:pPr>
        <w:pStyle w:val="Title"/>
        <w:jc w:val="center"/>
        <w:rPr>
          <w:rFonts w:ascii="Arial Rounded MT Bold" w:hAnsi="Arial Rounded MT Bold"/>
          <w:b/>
          <w:sz w:val="40"/>
        </w:rPr>
      </w:pPr>
      <w:r w:rsidRPr="00A23BB1">
        <w:rPr>
          <w:rFonts w:ascii="Arial Rounded MT Bold" w:hAnsi="Arial Rounded MT Bold"/>
          <w:b/>
          <w:w w:val="105"/>
          <w:sz w:val="40"/>
        </w:rPr>
        <w:t>Project</w:t>
      </w:r>
      <w:r w:rsidRPr="00A23BB1">
        <w:rPr>
          <w:rFonts w:ascii="Arial Rounded MT Bold" w:hAnsi="Arial Rounded MT Bold"/>
          <w:b/>
          <w:spacing w:val="15"/>
          <w:w w:val="105"/>
          <w:sz w:val="40"/>
        </w:rPr>
        <w:t xml:space="preserve"> </w:t>
      </w:r>
      <w:r w:rsidRPr="00A23BB1">
        <w:rPr>
          <w:rFonts w:ascii="Arial Rounded MT Bold" w:hAnsi="Arial Rounded MT Bold"/>
          <w:b/>
          <w:w w:val="105"/>
          <w:sz w:val="40"/>
        </w:rPr>
        <w:t>Memorandum:</w:t>
      </w:r>
      <w:r w:rsidRPr="00A23BB1">
        <w:rPr>
          <w:rFonts w:ascii="Arial Rounded MT Bold" w:hAnsi="Arial Rounded MT Bold"/>
          <w:b/>
          <w:spacing w:val="9"/>
          <w:w w:val="105"/>
          <w:sz w:val="40"/>
        </w:rPr>
        <w:t xml:space="preserve"> </w:t>
      </w:r>
      <w:r w:rsidRPr="00A23BB1">
        <w:rPr>
          <w:rFonts w:ascii="Arial Rounded MT Bold" w:hAnsi="Arial Rounded MT Bold"/>
          <w:b/>
          <w:w w:val="105"/>
          <w:sz w:val="40"/>
        </w:rPr>
        <w:t>Problem</w:t>
      </w:r>
      <w:r w:rsidRPr="00A23BB1">
        <w:rPr>
          <w:rFonts w:ascii="Arial Rounded MT Bold" w:hAnsi="Arial Rounded MT Bold"/>
          <w:b/>
          <w:spacing w:val="12"/>
          <w:w w:val="105"/>
          <w:sz w:val="40"/>
        </w:rPr>
        <w:t xml:space="preserve"> </w:t>
      </w:r>
      <w:r w:rsidRPr="00A23BB1">
        <w:rPr>
          <w:rFonts w:ascii="Arial Rounded MT Bold" w:hAnsi="Arial Rounded MT Bold"/>
          <w:b/>
          <w:w w:val="105"/>
          <w:sz w:val="40"/>
        </w:rPr>
        <w:t>Statement</w:t>
      </w:r>
    </w:p>
    <w:p w:rsidR="005F640A" w:rsidRDefault="005F640A">
      <w:pPr>
        <w:pStyle w:val="BodyText"/>
        <w:spacing w:before="5"/>
        <w:rPr>
          <w:sz w:val="18"/>
        </w:rPr>
      </w:pPr>
      <w:bookmarkStart w:id="0" w:name="_GoBack"/>
      <w:bookmarkEnd w:id="0"/>
    </w:p>
    <w:p w:rsidR="005F640A" w:rsidRDefault="00E8180B">
      <w:pPr>
        <w:pStyle w:val="BodyText"/>
        <w:spacing w:before="94" w:line="264" w:lineRule="auto"/>
        <w:ind w:left="119" w:right="116"/>
        <w:jc w:val="both"/>
      </w:pPr>
      <w:r>
        <w:t>Phase 1 of the Municipal Class Environmental Assessment (Class EA) planning process</w:t>
      </w:r>
      <w:r>
        <w:rPr>
          <w:spacing w:val="-59"/>
        </w:rPr>
        <w:t xml:space="preserve"> </w:t>
      </w:r>
      <w:r>
        <w:t>includes the identification and description of the problem or opportunity. The objective 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phase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clear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opportunity</w:t>
      </w:r>
      <w:r>
        <w:rPr>
          <w:spacing w:val="61"/>
        </w:rPr>
        <w:t xml:space="preserve"> </w:t>
      </w:r>
      <w:r>
        <w:t>being</w:t>
      </w:r>
      <w:r>
        <w:rPr>
          <w:spacing w:val="1"/>
        </w:rPr>
        <w:t xml:space="preserve"> </w:t>
      </w:r>
      <w:r>
        <w:t>addressed.</w:t>
      </w:r>
    </w:p>
    <w:p w:rsidR="005F640A" w:rsidRDefault="005F640A">
      <w:pPr>
        <w:pStyle w:val="BodyText"/>
        <w:rPr>
          <w:sz w:val="24"/>
        </w:rPr>
      </w:pPr>
    </w:p>
    <w:p w:rsidR="005F640A" w:rsidRDefault="00E8180B">
      <w:pPr>
        <w:pStyle w:val="BodyText"/>
        <w:ind w:left="119"/>
        <w:jc w:val="both"/>
      </w:pPr>
      <w:r>
        <w:t>Problem</w:t>
      </w:r>
      <w:r>
        <w:rPr>
          <w:spacing w:val="-4"/>
        </w:rPr>
        <w:t xml:space="preserve"> </w:t>
      </w:r>
      <w:r>
        <w:t>Identification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Statement:</w:t>
      </w:r>
    </w:p>
    <w:p w:rsidR="005F640A" w:rsidRDefault="005F640A">
      <w:pPr>
        <w:pStyle w:val="BodyText"/>
        <w:spacing w:before="5"/>
        <w:rPr>
          <w:sz w:val="26"/>
        </w:rPr>
      </w:pPr>
    </w:p>
    <w:p w:rsidR="005F640A" w:rsidRDefault="00E8180B">
      <w:pPr>
        <w:pStyle w:val="BodyText"/>
        <w:spacing w:line="264" w:lineRule="auto"/>
        <w:ind w:left="839" w:right="114"/>
        <w:jc w:val="both"/>
      </w:pPr>
      <w:r>
        <w:t>In 2000, the City became aware that the Water Pollution Control Centre (WPCC)</w:t>
      </w:r>
      <w:r>
        <w:rPr>
          <w:spacing w:val="1"/>
        </w:rPr>
        <w:t xml:space="preserve"> </w:t>
      </w:r>
      <w:r>
        <w:t>effluent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exceeding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Certificate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Approval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criteria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Biochemical</w:t>
      </w:r>
      <w:r>
        <w:rPr>
          <w:spacing w:val="1"/>
        </w:rPr>
        <w:t xml:space="preserve"> </w:t>
      </w:r>
      <w:r>
        <w:t>Oxygen</w:t>
      </w:r>
      <w:r>
        <w:rPr>
          <w:spacing w:val="1"/>
        </w:rPr>
        <w:t xml:space="preserve"> </w:t>
      </w:r>
      <w:r>
        <w:t>Demand</w:t>
      </w:r>
      <w:r>
        <w:rPr>
          <w:spacing w:val="1"/>
        </w:rPr>
        <w:t xml:space="preserve"> </w:t>
      </w:r>
      <w:r>
        <w:t>(BOD</w:t>
      </w:r>
      <w:r>
        <w:rPr>
          <w:vertAlign w:val="subscript"/>
        </w:rPr>
        <w:t>5</w:t>
      </w:r>
      <w:r>
        <w:t>)</w:t>
      </w:r>
      <w:r>
        <w:rPr>
          <w:spacing w:val="1"/>
        </w:rPr>
        <w:t xml:space="preserve"> </w:t>
      </w:r>
      <w:r>
        <w:t>concentration</w:t>
      </w:r>
      <w:r>
        <w:rPr>
          <w:spacing w:val="1"/>
        </w:rPr>
        <w:t xml:space="preserve"> </w:t>
      </w:r>
      <w:r>
        <w:t>and</w:t>
      </w:r>
      <w:r>
        <w:rPr>
          <w:spacing w:val="62"/>
        </w:rPr>
        <w:t xml:space="preserve"> </w:t>
      </w:r>
      <w:r>
        <w:t>loading.</w:t>
      </w:r>
      <w:r>
        <w:rPr>
          <w:spacing w:val="1"/>
        </w:rPr>
        <w:t xml:space="preserve"> </w:t>
      </w:r>
      <w:r>
        <w:t>Notwithstanding</w:t>
      </w:r>
      <w:r>
        <w:rPr>
          <w:spacing w:val="47"/>
        </w:rPr>
        <w:t xml:space="preserve"> </w:t>
      </w:r>
      <w:r>
        <w:t>evaluation</w:t>
      </w:r>
      <w:r>
        <w:rPr>
          <w:spacing w:val="46"/>
        </w:rPr>
        <w:t xml:space="preserve"> </w:t>
      </w:r>
      <w:r>
        <w:t>and</w:t>
      </w:r>
      <w:r>
        <w:rPr>
          <w:spacing w:val="46"/>
        </w:rPr>
        <w:t xml:space="preserve"> </w:t>
      </w:r>
      <w:r>
        <w:t>optimization</w:t>
      </w:r>
      <w:r>
        <w:rPr>
          <w:spacing w:val="45"/>
        </w:rPr>
        <w:t xml:space="preserve"> </w:t>
      </w:r>
      <w:r>
        <w:t>measures</w:t>
      </w:r>
      <w:r>
        <w:rPr>
          <w:spacing w:val="46"/>
        </w:rPr>
        <w:t xml:space="preserve"> </w:t>
      </w:r>
      <w:r>
        <w:t>undertaken</w:t>
      </w:r>
      <w:r>
        <w:rPr>
          <w:spacing w:val="46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improve</w:t>
      </w:r>
      <w:r>
        <w:rPr>
          <w:spacing w:val="-59"/>
        </w:rPr>
        <w:t xml:space="preserve"> </w:t>
      </w:r>
      <w:r>
        <w:t>the WPCC’s treatment performance, the existing facility is unable to achieve</w:t>
      </w:r>
      <w:r>
        <w:rPr>
          <w:spacing w:val="1"/>
        </w:rPr>
        <w:t xml:space="preserve"> </w:t>
      </w:r>
      <w:r>
        <w:t>compliance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effluent</w:t>
      </w:r>
      <w:r>
        <w:rPr>
          <w:spacing w:val="1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BO</w:t>
      </w:r>
      <w:r>
        <w:t>D</w:t>
      </w:r>
      <w:r>
        <w:rPr>
          <w:vertAlign w:val="subscript"/>
        </w:rPr>
        <w:t>5</w:t>
      </w:r>
      <w:r>
        <w:t>.</w:t>
      </w:r>
    </w:p>
    <w:p w:rsidR="005F640A" w:rsidRDefault="005F640A">
      <w:pPr>
        <w:pStyle w:val="BodyText"/>
        <w:spacing w:before="3"/>
        <w:rPr>
          <w:sz w:val="24"/>
        </w:rPr>
      </w:pPr>
    </w:p>
    <w:p w:rsidR="005F640A" w:rsidRDefault="00E8180B">
      <w:pPr>
        <w:pStyle w:val="BodyText"/>
        <w:spacing w:before="1" w:line="264" w:lineRule="auto"/>
        <w:ind w:left="839" w:right="115"/>
        <w:jc w:val="both"/>
      </w:pPr>
      <w:r>
        <w:t>The Ministry of Environment (MOE) has issued a Provincial Officer’s Order to the</w:t>
      </w:r>
      <w:r>
        <w:rPr>
          <w:spacing w:val="1"/>
        </w:rPr>
        <w:t xml:space="preserve"> </w:t>
      </w:r>
      <w:r>
        <w:t>City of Brockville to assess alternative solutions following the Municipal Class EA</w:t>
      </w:r>
      <w:r>
        <w:rPr>
          <w:spacing w:val="1"/>
        </w:rPr>
        <w:t xml:space="preserve"> </w:t>
      </w:r>
      <w:r>
        <w:t>process.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includes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request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description:</w:t>
      </w:r>
    </w:p>
    <w:p w:rsidR="005F640A" w:rsidRDefault="005F640A">
      <w:pPr>
        <w:pStyle w:val="BodyText"/>
        <w:spacing w:before="2"/>
        <w:rPr>
          <w:sz w:val="24"/>
        </w:rPr>
      </w:pPr>
    </w:p>
    <w:p w:rsidR="005F640A" w:rsidRDefault="00E8180B">
      <w:pPr>
        <w:spacing w:line="264" w:lineRule="auto"/>
        <w:ind w:left="1559" w:right="114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“The Existing Water Pollution Control Centre is in a chronic state of non-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compliance with the prescribed Biochemical Oxygen Demand (5 day)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effluent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criteria,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and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does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not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meet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the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“normal”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level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of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treatment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prescribed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by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the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Ministry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of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the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Environment.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The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“normal”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level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of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treatment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secondary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equivalent.”</w:t>
      </w:r>
    </w:p>
    <w:p w:rsidR="005F640A" w:rsidRDefault="005F640A">
      <w:pPr>
        <w:pStyle w:val="BodyText"/>
        <w:spacing w:before="1"/>
        <w:rPr>
          <w:rFonts w:ascii="Arial"/>
          <w:i/>
          <w:sz w:val="24"/>
        </w:rPr>
      </w:pPr>
    </w:p>
    <w:p w:rsidR="005F640A" w:rsidRDefault="00E8180B">
      <w:pPr>
        <w:pStyle w:val="BodyText"/>
        <w:spacing w:line="264" w:lineRule="auto"/>
        <w:ind w:left="839" w:right="115"/>
        <w:jc w:val="both"/>
      </w:pPr>
      <w:r>
        <w:t>The WPCC is a chemically assisted primary plant. It is not designed to remove</w:t>
      </w:r>
      <w:r>
        <w:rPr>
          <w:spacing w:val="1"/>
        </w:rPr>
        <w:t xml:space="preserve"> </w:t>
      </w:r>
      <w:r>
        <w:t>soluble</w:t>
      </w:r>
      <w:r>
        <w:rPr>
          <w:spacing w:val="1"/>
        </w:rPr>
        <w:t xml:space="preserve"> </w:t>
      </w:r>
      <w:r>
        <w:t>BOD.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“normal”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treatment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</w:t>
      </w:r>
      <w:r>
        <w:rPr>
          <w:spacing w:val="6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Provincial</w:t>
      </w:r>
      <w:r>
        <w:rPr>
          <w:spacing w:val="1"/>
        </w:rPr>
        <w:t xml:space="preserve"> </w:t>
      </w:r>
      <w:r>
        <w:t>Officer’s</w:t>
      </w:r>
      <w:r>
        <w:rPr>
          <w:spacing w:val="45"/>
        </w:rPr>
        <w:t xml:space="preserve"> </w:t>
      </w:r>
      <w:r>
        <w:t>Order</w:t>
      </w:r>
      <w:r>
        <w:rPr>
          <w:spacing w:val="48"/>
        </w:rPr>
        <w:t xml:space="preserve"> </w:t>
      </w:r>
      <w:r>
        <w:t>is</w:t>
      </w:r>
      <w:r>
        <w:rPr>
          <w:spacing w:val="47"/>
        </w:rPr>
        <w:t xml:space="preserve"> </w:t>
      </w:r>
      <w:r>
        <w:t>defined</w:t>
      </w:r>
      <w:r>
        <w:rPr>
          <w:spacing w:val="47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minimum</w:t>
      </w:r>
      <w:r>
        <w:rPr>
          <w:spacing w:val="48"/>
        </w:rPr>
        <w:t xml:space="preserve"> </w:t>
      </w:r>
      <w:r>
        <w:t>of</w:t>
      </w:r>
      <w:r>
        <w:rPr>
          <w:spacing w:val="48"/>
        </w:rPr>
        <w:t xml:space="preserve"> </w:t>
      </w:r>
      <w:r>
        <w:t>secondary</w:t>
      </w:r>
      <w:r>
        <w:rPr>
          <w:spacing w:val="45"/>
        </w:rPr>
        <w:t xml:space="preserve"> </w:t>
      </w:r>
      <w:r>
        <w:t>treatment</w:t>
      </w:r>
      <w:r>
        <w:rPr>
          <w:spacing w:val="48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MOE</w:t>
      </w:r>
      <w:r>
        <w:rPr>
          <w:spacing w:val="-59"/>
        </w:rPr>
        <w:t xml:space="preserve"> </w:t>
      </w:r>
      <w:r>
        <w:t>Policy F-5. Also, both provincial and federal effluent standards are being more</w:t>
      </w:r>
      <w:r>
        <w:rPr>
          <w:spacing w:val="1"/>
        </w:rPr>
        <w:t xml:space="preserve"> </w:t>
      </w:r>
      <w:r>
        <w:t>stringently set to protect receiving water courses and to achieve an effluent which</w:t>
      </w:r>
      <w:r>
        <w:rPr>
          <w:spacing w:val="-59"/>
        </w:rPr>
        <w:t xml:space="preserve"> </w:t>
      </w:r>
      <w:r>
        <w:t>is non-toxic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aquatic</w:t>
      </w:r>
      <w:r>
        <w:rPr>
          <w:spacing w:val="1"/>
        </w:rPr>
        <w:t xml:space="preserve"> </w:t>
      </w:r>
      <w:r>
        <w:t>life.</w:t>
      </w:r>
    </w:p>
    <w:p w:rsidR="005F640A" w:rsidRDefault="005F640A">
      <w:pPr>
        <w:pStyle w:val="BodyText"/>
        <w:spacing w:before="3"/>
        <w:rPr>
          <w:sz w:val="24"/>
        </w:rPr>
      </w:pPr>
    </w:p>
    <w:p w:rsidR="005F640A" w:rsidRDefault="00E8180B">
      <w:pPr>
        <w:pStyle w:val="BodyText"/>
        <w:spacing w:line="264" w:lineRule="auto"/>
        <w:ind w:left="839" w:right="114"/>
        <w:jc w:val="both"/>
      </w:pPr>
      <w:r>
        <w:t>The above requ</w:t>
      </w:r>
      <w:r>
        <w:t>irements create the need to upgrade the Brockville WPCC and</w:t>
      </w:r>
      <w:r>
        <w:rPr>
          <w:spacing w:val="1"/>
        </w:rPr>
        <w:t xml:space="preserve"> </w:t>
      </w:r>
      <w: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effluent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providing</w:t>
      </w:r>
      <w:r>
        <w:rPr>
          <w:spacing w:val="1"/>
        </w:rPr>
        <w:t xml:space="preserve"> </w:t>
      </w:r>
      <w:r>
        <w:t>secondary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equivalent</w:t>
      </w:r>
      <w:r>
        <w:rPr>
          <w:spacing w:val="1"/>
        </w:rPr>
        <w:t xml:space="preserve"> </w:t>
      </w:r>
      <w:r>
        <w:t>treatment.</w:t>
      </w:r>
      <w:r>
        <w:rPr>
          <w:spacing w:val="-59"/>
        </w:rPr>
        <w:t xml:space="preserve"> </w:t>
      </w:r>
      <w:r>
        <w:t>Principle considerations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undertaking are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include:</w:t>
      </w:r>
    </w:p>
    <w:p w:rsidR="005F640A" w:rsidRDefault="005F640A">
      <w:pPr>
        <w:pStyle w:val="BodyText"/>
        <w:spacing w:before="5"/>
        <w:rPr>
          <w:sz w:val="24"/>
        </w:rPr>
      </w:pPr>
    </w:p>
    <w:p w:rsidR="005F640A" w:rsidRDefault="00E8180B">
      <w:pPr>
        <w:pStyle w:val="ListParagraph"/>
        <w:numPr>
          <w:ilvl w:val="0"/>
          <w:numId w:val="1"/>
        </w:numPr>
        <w:tabs>
          <w:tab w:val="left" w:pos="1200"/>
        </w:tabs>
        <w:spacing w:line="261" w:lineRule="auto"/>
        <w:ind w:right="117" w:hanging="360"/>
      </w:pPr>
      <w:r>
        <w:t>Upgrade activities are to address the issues of</w:t>
      </w:r>
      <w:r>
        <w:rPr>
          <w:spacing w:val="61"/>
        </w:rPr>
        <w:t xml:space="preserve"> </w:t>
      </w:r>
      <w:r>
        <w:t>non-compliance with respect</w:t>
      </w:r>
      <w:r>
        <w:rPr>
          <w:spacing w:val="1"/>
        </w:rPr>
        <w:t xml:space="preserve"> </w:t>
      </w:r>
      <w:r>
        <w:t>to effluent criteria, and “normal” level of treatment in accordance with work</w:t>
      </w:r>
      <w:r>
        <w:rPr>
          <w:spacing w:val="1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and timelines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in the MOE</w:t>
      </w:r>
      <w:r>
        <w:rPr>
          <w:spacing w:val="-2"/>
        </w:rPr>
        <w:t xml:space="preserve"> </w:t>
      </w:r>
      <w:r>
        <w:t>Provincial</w:t>
      </w:r>
      <w:r>
        <w:rPr>
          <w:spacing w:val="-1"/>
        </w:rPr>
        <w:t xml:space="preserve"> </w:t>
      </w:r>
      <w:r>
        <w:t>Officer’s</w:t>
      </w:r>
      <w:r>
        <w:rPr>
          <w:spacing w:val="-2"/>
        </w:rPr>
        <w:t xml:space="preserve"> </w:t>
      </w:r>
      <w:r>
        <w:t>Order.</w:t>
      </w:r>
    </w:p>
    <w:p w:rsidR="005F640A" w:rsidRDefault="005F640A">
      <w:pPr>
        <w:spacing w:line="261" w:lineRule="auto"/>
        <w:jc w:val="both"/>
        <w:sectPr w:rsidR="005F640A">
          <w:headerReference w:type="default" r:id="rId8"/>
          <w:footerReference w:type="default" r:id="rId9"/>
          <w:type w:val="continuous"/>
          <w:pgSz w:w="12240" w:h="15840"/>
          <w:pgMar w:top="1560" w:right="1680" w:bottom="1700" w:left="1680" w:header="724" w:footer="1513" w:gutter="0"/>
          <w:pgNumType w:start="1"/>
          <w:cols w:space="720"/>
        </w:sectPr>
      </w:pPr>
    </w:p>
    <w:p w:rsidR="005F640A" w:rsidRDefault="005F640A">
      <w:pPr>
        <w:pStyle w:val="BodyText"/>
        <w:rPr>
          <w:sz w:val="10"/>
        </w:rPr>
      </w:pPr>
    </w:p>
    <w:p w:rsidR="005F640A" w:rsidRDefault="00E8180B">
      <w:pPr>
        <w:pStyle w:val="ListParagraph"/>
        <w:numPr>
          <w:ilvl w:val="0"/>
          <w:numId w:val="1"/>
        </w:numPr>
        <w:tabs>
          <w:tab w:val="left" w:pos="1200"/>
        </w:tabs>
        <w:spacing w:before="101" w:line="261" w:lineRule="auto"/>
        <w:ind w:right="119" w:hanging="360"/>
      </w:pPr>
      <w:r>
        <w:t>Site area and location, plant outfall, and existing facility rated capacity are not</w:t>
      </w:r>
      <w:r>
        <w:rPr>
          <w:spacing w:val="-59"/>
        </w:rPr>
        <w:t xml:space="preserve"> </w:t>
      </w:r>
      <w:r>
        <w:t>currently</w:t>
      </w:r>
      <w:r>
        <w:rPr>
          <w:spacing w:val="-2"/>
        </w:rPr>
        <w:t xml:space="preserve"> </w:t>
      </w:r>
      <w:r>
        <w:t>identified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deficiency.</w:t>
      </w:r>
    </w:p>
    <w:p w:rsidR="005F640A" w:rsidRDefault="005F640A">
      <w:pPr>
        <w:pStyle w:val="BodyText"/>
        <w:spacing w:before="6"/>
        <w:rPr>
          <w:sz w:val="24"/>
        </w:rPr>
      </w:pPr>
    </w:p>
    <w:p w:rsidR="005F640A" w:rsidRDefault="00E8180B">
      <w:pPr>
        <w:pStyle w:val="ListParagraph"/>
        <w:numPr>
          <w:ilvl w:val="0"/>
          <w:numId w:val="1"/>
        </w:numPr>
        <w:tabs>
          <w:tab w:val="left" w:pos="1200"/>
        </w:tabs>
        <w:spacing w:line="261" w:lineRule="auto"/>
        <w:ind w:hanging="360"/>
      </w:pPr>
      <w:r>
        <w:t xml:space="preserve">Upgrade activities are to also consider possible implementation of a </w:t>
      </w:r>
      <w:proofErr w:type="spellStart"/>
      <w:r>
        <w:t>septage</w:t>
      </w:r>
      <w:proofErr w:type="spellEnd"/>
      <w:r>
        <w:rPr>
          <w:spacing w:val="1"/>
        </w:rPr>
        <w:t xml:space="preserve"> </w:t>
      </w:r>
      <w:r>
        <w:t>receiving</w:t>
      </w:r>
      <w:r>
        <w:rPr>
          <w:spacing w:val="1"/>
        </w:rPr>
        <w:t xml:space="preserve"> </w:t>
      </w:r>
      <w:r>
        <w:t>facility,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assess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effluent</w:t>
      </w:r>
      <w:r>
        <w:rPr>
          <w:spacing w:val="1"/>
        </w:rPr>
        <w:t xml:space="preserve"> </w:t>
      </w:r>
      <w:r>
        <w:t>disi</w:t>
      </w:r>
      <w:r>
        <w:t>nfection</w:t>
      </w:r>
      <w:r>
        <w:rPr>
          <w:spacing w:val="1"/>
        </w:rPr>
        <w:t xml:space="preserve"> </w:t>
      </w:r>
      <w:r>
        <w:t>methods</w:t>
      </w:r>
      <w:r>
        <w:rPr>
          <w:spacing w:val="61"/>
        </w:rPr>
        <w:t xml:space="preserve"> </w:t>
      </w:r>
      <w:r>
        <w:t>to</w:t>
      </w:r>
      <w:r>
        <w:rPr>
          <w:spacing w:val="-59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‘non-toxic’ effluent requirements.</w:t>
      </w:r>
    </w:p>
    <w:p w:rsidR="005F640A" w:rsidRDefault="005F640A">
      <w:pPr>
        <w:pStyle w:val="BodyText"/>
        <w:spacing w:before="8"/>
        <w:rPr>
          <w:sz w:val="24"/>
        </w:rPr>
      </w:pPr>
    </w:p>
    <w:p w:rsidR="005F640A" w:rsidRDefault="00E8180B">
      <w:pPr>
        <w:pStyle w:val="ListParagraph"/>
        <w:numPr>
          <w:ilvl w:val="0"/>
          <w:numId w:val="1"/>
        </w:numPr>
        <w:tabs>
          <w:tab w:val="left" w:pos="1200"/>
        </w:tabs>
        <w:spacing w:line="264" w:lineRule="auto"/>
        <w:ind w:right="115" w:hanging="360"/>
      </w:pPr>
      <w:r>
        <w:t>Several leading practical and cost-effective alternatives for a Plant upgrade</w:t>
      </w:r>
      <w:r>
        <w:rPr>
          <w:spacing w:val="1"/>
        </w:rPr>
        <w:t xml:space="preserve"> </w:t>
      </w:r>
      <w:r>
        <w:t>are to be developed for confirmation of the Class EA ‘project schedule’ type</w:t>
      </w:r>
      <w:r>
        <w:rPr>
          <w:spacing w:val="1"/>
        </w:rPr>
        <w:t xml:space="preserve"> </w:t>
      </w:r>
      <w:r>
        <w:t>and for further pre-design considerations. As no third-party funding support</w:t>
      </w:r>
      <w:r>
        <w:rPr>
          <w:spacing w:val="1"/>
        </w:rPr>
        <w:t xml:space="preserve"> </w:t>
      </w:r>
      <w:r>
        <w:t>commitments have been received to date, financial viability can significantly</w:t>
      </w:r>
      <w:r>
        <w:rPr>
          <w:spacing w:val="1"/>
        </w:rPr>
        <w:t xml:space="preserve"> </w:t>
      </w:r>
      <w:r>
        <w:t>affect</w:t>
      </w:r>
      <w:r>
        <w:rPr>
          <w:spacing w:val="1"/>
        </w:rPr>
        <w:t xml:space="preserve"> </w:t>
      </w:r>
      <w:r>
        <w:t>implementation</w:t>
      </w:r>
      <w:r>
        <w:rPr>
          <w:spacing w:val="-2"/>
        </w:rPr>
        <w:t xml:space="preserve"> </w:t>
      </w:r>
      <w:r>
        <w:t>timelines.</w:t>
      </w:r>
    </w:p>
    <w:p w:rsidR="005F640A" w:rsidRDefault="005F640A">
      <w:pPr>
        <w:pStyle w:val="BodyText"/>
        <w:rPr>
          <w:sz w:val="20"/>
        </w:rPr>
      </w:pPr>
    </w:p>
    <w:p w:rsidR="005F640A" w:rsidRDefault="005F640A">
      <w:pPr>
        <w:pStyle w:val="BodyText"/>
        <w:rPr>
          <w:sz w:val="20"/>
        </w:rPr>
      </w:pPr>
    </w:p>
    <w:p w:rsidR="005F640A" w:rsidRDefault="00E8180B">
      <w:pPr>
        <w:pStyle w:val="BodyText"/>
        <w:spacing w:before="9"/>
        <w:rPr>
          <w:sz w:val="24"/>
        </w:rPr>
      </w:pPr>
      <w:r>
        <w:pict>
          <v:rect id="_x0000_s1026" style="position:absolute;margin-left:270pt;margin-top:16.2pt;width:126pt;height:.85pt;z-index:-251658752;mso-wrap-distance-left:0;mso-wrap-distance-right:0;mso-position-horizontal-relative:page" fillcolor="black" stroked="f">
            <w10:wrap type="topAndBottom" anchorx="page"/>
          </v:rect>
        </w:pict>
      </w:r>
    </w:p>
    <w:sectPr w:rsidR="005F640A">
      <w:pgSz w:w="12240" w:h="15840"/>
      <w:pgMar w:top="1560" w:right="1680" w:bottom="1700" w:left="1680" w:header="724" w:footer="15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0B" w:rsidRDefault="00E8180B">
      <w:r>
        <w:separator/>
      </w:r>
    </w:p>
  </w:endnote>
  <w:endnote w:type="continuationSeparator" w:id="0">
    <w:p w:rsidR="00E8180B" w:rsidRDefault="00E8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0A" w:rsidRDefault="00E8180B">
    <w:pPr>
      <w:pStyle w:val="BodyText"/>
      <w:spacing w:line="14" w:lineRule="auto"/>
      <w:rPr>
        <w:sz w:val="20"/>
      </w:rPr>
    </w:pPr>
    <w:r>
      <w:pict>
        <v:shape id="_x0000_s2051" style="position:absolute;margin-left:84.6pt;margin-top:702.35pt;width:442.45pt;height:.5pt;z-index:-15768576;mso-position-horizontal-relative:page;mso-position-vertical-relative:page" coordorigin="1692,14047" coordsize="8849,10" o:spt="100" adj="0,,0" path="m6113,14047r-4421,l1692,14057r4421,l6113,14047xm6122,14047r-9,l6113,14057r9,l6122,14047xm10541,14047r-4419,l6122,14057r4419,l10541,14047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702.05pt;width:157.05pt;height:25.85pt;z-index:-15768064;mso-position-horizontal-relative:page;mso-position-vertical-relative:page" filled="f" stroked="f">
          <v:textbox inset="0,0,0,0">
            <w:txbxContent>
              <w:p w:rsidR="005F640A" w:rsidRDefault="00E8180B">
                <w:pPr>
                  <w:spacing w:before="8" w:line="266" w:lineRule="auto"/>
                  <w:ind w:left="20" w:right="12"/>
                  <w:rPr>
                    <w:sz w:val="20"/>
                  </w:rPr>
                </w:pPr>
                <w:r>
                  <w:rPr>
                    <w:sz w:val="20"/>
                  </w:rPr>
                  <w:t>Simcoe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Engineering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Group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Limited</w:t>
                </w:r>
                <w:r>
                  <w:rPr>
                    <w:spacing w:val="-52"/>
                    <w:sz w:val="20"/>
                  </w:rPr>
                  <w:t xml:space="preserve"> </w:t>
                </w:r>
                <w:proofErr w:type="spellStart"/>
                <w:r>
                  <w:rPr>
                    <w:sz w:val="20"/>
                  </w:rPr>
                  <w:t>Hydromantis</w:t>
                </w:r>
                <w:proofErr w:type="spellEnd"/>
                <w:r>
                  <w:rPr>
                    <w:sz w:val="20"/>
                  </w:rPr>
                  <w:t>,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Inc.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69.9pt;margin-top:702.05pt;width:56.15pt;height:13.15pt;z-index:-15767552;mso-position-horizontal-relative:page;mso-position-vertical-relative:page" filled="f" stroked="f">
          <v:textbox inset="0,0,0,0">
            <w:txbxContent>
              <w:p w:rsidR="005F640A" w:rsidRDefault="00E8180B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23BB1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0B" w:rsidRDefault="00E8180B">
      <w:r>
        <w:separator/>
      </w:r>
    </w:p>
  </w:footnote>
  <w:footnote w:type="continuationSeparator" w:id="0">
    <w:p w:rsidR="00E8180B" w:rsidRDefault="00E81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0A" w:rsidRDefault="00E8180B">
    <w:pPr>
      <w:pStyle w:val="BodyText"/>
      <w:spacing w:line="14" w:lineRule="auto"/>
      <w:rPr>
        <w:sz w:val="20"/>
      </w:rPr>
    </w:pPr>
    <w:r>
      <w:pict>
        <v:rect id="_x0000_s2054" style="position:absolute;margin-left:83.9pt;margin-top:61.3pt;width:443.5pt;height:.5pt;z-index:-1577011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9pt;margin-top:35.2pt;width:194.25pt;height:25.75pt;z-index:-15769600;mso-position-horizontal-relative:page;mso-position-vertical-relative:page" filled="f" stroked="f">
          <v:textbox inset="0,0,0,0">
            <w:txbxContent>
              <w:p w:rsidR="005F640A" w:rsidRDefault="00E8180B">
                <w:pPr>
                  <w:spacing w:before="8" w:line="264" w:lineRule="auto"/>
                  <w:ind w:left="20" w:right="15"/>
                  <w:rPr>
                    <w:sz w:val="20"/>
                  </w:rPr>
                </w:pPr>
                <w:r>
                  <w:rPr>
                    <w:sz w:val="20"/>
                  </w:rPr>
                  <w:t>C</w:t>
                </w:r>
                <w:r>
                  <w:rPr>
                    <w:sz w:val="20"/>
                  </w:rPr>
                  <w:t>ity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of Brockville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WPCC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Upgrade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Class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EA</w:t>
                </w:r>
                <w:r>
                  <w:rPr>
                    <w:spacing w:val="-5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Project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Memorandum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–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Problem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Statement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64.95pt;margin-top:35.2pt;width:58.05pt;height:25.75pt;z-index:-15769088;mso-position-horizontal-relative:page;mso-position-vertical-relative:page" filled="f" stroked="f">
          <v:textbox inset="0,0,0,0">
            <w:txbxContent>
              <w:p w:rsidR="005F640A" w:rsidRDefault="00E8180B">
                <w:pPr>
                  <w:spacing w:before="12"/>
                  <w:ind w:right="18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August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2004</w:t>
                </w:r>
              </w:p>
              <w:p w:rsidR="005F640A" w:rsidRDefault="00E8180B">
                <w:pPr>
                  <w:spacing w:before="22"/>
                  <w:ind w:right="18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161.03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2D84"/>
    <w:multiLevelType w:val="hybridMultilevel"/>
    <w:tmpl w:val="CD12E278"/>
    <w:lvl w:ilvl="0" w:tplc="A7F614BC">
      <w:numFmt w:val="bullet"/>
      <w:lvlText w:val="•"/>
      <w:lvlJc w:val="left"/>
      <w:pPr>
        <w:ind w:left="1199" w:hanging="361"/>
      </w:pPr>
      <w:rPr>
        <w:rFonts w:ascii="Verdana" w:eastAsia="Verdana" w:hAnsi="Verdana" w:cs="Verdana" w:hint="default"/>
        <w:w w:val="84"/>
        <w:sz w:val="22"/>
        <w:szCs w:val="22"/>
        <w:lang w:val="en-US" w:eastAsia="en-US" w:bidi="ar-SA"/>
      </w:rPr>
    </w:lvl>
    <w:lvl w:ilvl="1" w:tplc="D004BE64">
      <w:numFmt w:val="bullet"/>
      <w:lvlText w:val="•"/>
      <w:lvlJc w:val="left"/>
      <w:pPr>
        <w:ind w:left="1968" w:hanging="361"/>
      </w:pPr>
      <w:rPr>
        <w:rFonts w:hint="default"/>
        <w:lang w:val="en-US" w:eastAsia="en-US" w:bidi="ar-SA"/>
      </w:rPr>
    </w:lvl>
    <w:lvl w:ilvl="2" w:tplc="BCF0EE42">
      <w:numFmt w:val="bullet"/>
      <w:lvlText w:val="•"/>
      <w:lvlJc w:val="left"/>
      <w:pPr>
        <w:ind w:left="2736" w:hanging="361"/>
      </w:pPr>
      <w:rPr>
        <w:rFonts w:hint="default"/>
        <w:lang w:val="en-US" w:eastAsia="en-US" w:bidi="ar-SA"/>
      </w:rPr>
    </w:lvl>
    <w:lvl w:ilvl="3" w:tplc="1654F046">
      <w:numFmt w:val="bullet"/>
      <w:lvlText w:val="•"/>
      <w:lvlJc w:val="left"/>
      <w:pPr>
        <w:ind w:left="3504" w:hanging="361"/>
      </w:pPr>
      <w:rPr>
        <w:rFonts w:hint="default"/>
        <w:lang w:val="en-US" w:eastAsia="en-US" w:bidi="ar-SA"/>
      </w:rPr>
    </w:lvl>
    <w:lvl w:ilvl="4" w:tplc="4DF2CCE2">
      <w:numFmt w:val="bullet"/>
      <w:lvlText w:val="•"/>
      <w:lvlJc w:val="left"/>
      <w:pPr>
        <w:ind w:left="4272" w:hanging="361"/>
      </w:pPr>
      <w:rPr>
        <w:rFonts w:hint="default"/>
        <w:lang w:val="en-US" w:eastAsia="en-US" w:bidi="ar-SA"/>
      </w:rPr>
    </w:lvl>
    <w:lvl w:ilvl="5" w:tplc="B162AC1E"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plc="8B104C4A">
      <w:numFmt w:val="bullet"/>
      <w:lvlText w:val="•"/>
      <w:lvlJc w:val="left"/>
      <w:pPr>
        <w:ind w:left="5808" w:hanging="361"/>
      </w:pPr>
      <w:rPr>
        <w:rFonts w:hint="default"/>
        <w:lang w:val="en-US" w:eastAsia="en-US" w:bidi="ar-SA"/>
      </w:rPr>
    </w:lvl>
    <w:lvl w:ilvl="7" w:tplc="17406450">
      <w:numFmt w:val="bullet"/>
      <w:lvlText w:val="•"/>
      <w:lvlJc w:val="left"/>
      <w:pPr>
        <w:ind w:left="6576" w:hanging="361"/>
      </w:pPr>
      <w:rPr>
        <w:rFonts w:hint="default"/>
        <w:lang w:val="en-US" w:eastAsia="en-US" w:bidi="ar-SA"/>
      </w:rPr>
    </w:lvl>
    <w:lvl w:ilvl="8" w:tplc="D74E51AE">
      <w:numFmt w:val="bullet"/>
      <w:lvlText w:val="•"/>
      <w:lvlJc w:val="left"/>
      <w:pPr>
        <w:ind w:left="7344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640A"/>
    <w:rsid w:val="005F640A"/>
    <w:rsid w:val="00A23BB1"/>
    <w:rsid w:val="00E8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99" w:right="11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A23B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3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99" w:right="11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A23B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3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2441</Characters>
  <Application>Microsoft Office Word</Application>
  <DocSecurity>0</DocSecurity>
  <Lines>20</Lines>
  <Paragraphs>5</Paragraphs>
  <ScaleCrop>false</ScaleCrop>
  <Company>HP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ProjMemo_ProblemStatement.doc</dc:title>
  <dc:creator>Cameron</dc:creator>
  <cp:lastModifiedBy>Adeel</cp:lastModifiedBy>
  <cp:revision>2</cp:revision>
  <dcterms:created xsi:type="dcterms:W3CDTF">2023-02-08T19:37:00Z</dcterms:created>
  <dcterms:modified xsi:type="dcterms:W3CDTF">2023-02-08T19:45:00Z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2004-09-15T00:00:00Z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2023-02-08T00:00:00Z</vt:filetime>
  </property>
</Properties>
</file>