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5"/>
        <w:spacing w:lineRule="auto" w:line="360"/>
        <w:ind w:left="0" w:right="0" w:hanging="0"/>
        <w:rPr>
          <w:rFonts w:cs="Arial" w:ascii="arial" w:hAnsi="arial"/>
          <w:b w:val="false"/>
          <w:bCs/>
          <w:caps w:val="false"/>
          <w:smallCaps w:val="false"/>
          <w:color w:val="000000"/>
          <w:sz w:val="16"/>
          <w:szCs w:val="16"/>
        </w:rPr>
      </w:pPr>
      <w:r>
        <w:rPr>
          <w:rFonts w:cs="Arial" w:ascii="arial" w:hAnsi="arial"/>
          <w:b w:val="false"/>
          <w:bCs/>
          <w:caps w:val="false"/>
          <w:smallCaps w:val="false"/>
          <w:color w:val="000000"/>
          <w:sz w:val="16"/>
          <w:szCs w:val="16"/>
        </w:rPr>
        <w:t>Project Charter Model Sample</w:t>
      </w:r>
    </w:p>
    <w:p>
      <w:pPr>
        <w:pStyle w:val="Header"/>
        <w:tabs>
          <w:tab w:val="right" w:pos="9360" w:leader="none"/>
        </w:tabs>
        <w:spacing w:lineRule="auto" w:line="360"/>
        <w:rPr>
          <w:rFonts w:cs="Arial" w:ascii="arial" w:hAnsi="arial"/>
          <w:bCs/>
          <w:i w:val="false"/>
          <w:color w:val="000000"/>
          <w:sz w:val="16"/>
          <w:szCs w:val="16"/>
        </w:rPr>
      </w:pPr>
      <w:r>
        <w:rPr>
          <w:rFonts w:cs="Arial" w:ascii="arial" w:hAnsi="arial"/>
          <w:bCs/>
          <w:i w:val="false"/>
          <w:color w:val="000000"/>
          <w:sz w:val="16"/>
          <w:szCs w:val="16"/>
        </w:rPr>
        <w:t>Here is a sample project charter to get you started.  This project charter was created for the corporate employee recognition framework.</w:t>
      </w:r>
    </w:p>
    <w:p>
      <w:pPr>
        <w:pStyle w:val="Heading1"/>
        <w:rPr>
          <w:rFonts w:cs="Arial" w:ascii="Arial" w:hAnsi="Arial"/>
        </w:rPr>
      </w:pPr>
      <w:r>
        <w:rPr>
          <w:rFonts w:cs="Arial" w:ascii="Arial" w:hAnsi="Arial"/>
        </w:rPr>
        <w:t xml:space="preserve">Project Charter </w:t>
        <w:tab/>
        <w:tab/>
        <w:tab/>
        <w:tab/>
        <w:tab/>
        <w:tab/>
        <w:tab/>
        <w:tab/>
        <w:tab/>
      </w:r>
    </w:p>
    <w:p>
      <w:pPr>
        <w:pStyle w:val="Normal"/>
        <w:rPr>
          <w:rFonts w:cs="Arial"/>
        </w:rPr>
      </w:pPr>
      <w:r>
        <w:rPr>
          <w:rFonts w:cs="Arial"/>
        </w:rPr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30"/>
        <w:gridCol w:w="2205"/>
        <w:gridCol w:w="4095"/>
      </w:tblGrid>
      <w:tr>
        <w:trPr>
          <w:trHeight w:val="548" w:hRule="atLeast"/>
          <w:cantSplit w:val="false"/>
        </w:trPr>
        <w:tc>
          <w:tcPr>
            <w:tcW w:w="7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Contents1"/>
              <w:spacing w:before="40" w:after="4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1.0 Project Identification</w:t>
            </w:r>
          </w:p>
        </w:tc>
      </w:tr>
      <w:tr>
        <w:trPr>
          <w:cantSplit w:val="false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Name</w:t>
            </w:r>
          </w:p>
        </w:tc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Cs/>
                <w:i/>
                <w:iCs/>
                <w:sz w:val="20"/>
              </w:rPr>
            </w:pPr>
            <w:r>
              <w:rPr>
                <w:rFonts w:cs="Arial" w:ascii="Arial" w:hAnsi="Arial"/>
                <w:bCs/>
                <w:i/>
                <w:iCs/>
                <w:sz w:val="20"/>
              </w:rPr>
              <w:t>Employee Recognition Framework</w:t>
            </w:r>
          </w:p>
        </w:tc>
      </w:tr>
      <w:tr>
        <w:trPr>
          <w:cantSplit w:val="false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Description</w:t>
            </w:r>
          </w:p>
        </w:tc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autoSpaceDE w:val="false"/>
              <w:spacing w:before="40" w:after="40"/>
              <w:rPr>
                <w:rFonts w:cs="Arial" w:ascii="Arial" w:hAnsi="Arial"/>
                <w:i/>
                <w:sz w:val="20"/>
              </w:rPr>
            </w:pPr>
            <w:r>
              <w:rPr>
                <w:rFonts w:cs="Arial" w:ascii="Arial" w:hAnsi="Arial"/>
                <w:i/>
                <w:sz w:val="20"/>
              </w:rPr>
              <w:t>Design, develop and implement the employee recognition framework</w:t>
            </w:r>
          </w:p>
        </w:tc>
      </w:tr>
      <w:tr>
        <w:trPr>
          <w:cantSplit w:val="false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Sponsor</w:t>
            </w:r>
          </w:p>
        </w:tc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iCs/>
                <w:sz w:val="20"/>
              </w:rPr>
            </w:pPr>
            <w:r>
              <w:rPr>
                <w:rFonts w:cs="Arial" w:ascii="Arial" w:hAnsi="Arial"/>
                <w:iCs/>
                <w:sz w:val="20"/>
              </w:rPr>
            </w:r>
          </w:p>
        </w:tc>
      </w:tr>
      <w:tr>
        <w:trPr>
          <w:cantSplit w:val="false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Project Manager</w:t>
            </w:r>
          </w:p>
        </w:tc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iCs/>
                <w:sz w:val="20"/>
              </w:rPr>
            </w:pPr>
            <w:r>
              <w:rPr>
                <w:rFonts w:cs="Arial" w:ascii="Arial" w:hAnsi="Arial"/>
                <w:iCs/>
                <w:sz w:val="20"/>
              </w:rPr>
            </w:r>
          </w:p>
        </w:tc>
      </w:tr>
      <w:tr>
        <w:trPr>
          <w:cantSplit w:val="false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Project Team Resources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iCs/>
                <w:sz w:val="20"/>
              </w:rPr>
            </w:pPr>
            <w:r>
              <w:rPr>
                <w:rFonts w:cs="Arial" w:ascii="Arial" w:hAnsi="Arial"/>
                <w:iCs/>
                <w:sz w:val="20"/>
              </w:rPr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iCs/>
                <w:sz w:val="20"/>
              </w:rPr>
            </w:pPr>
            <w:r>
              <w:rPr>
                <w:rFonts w:cs="Arial" w:ascii="Arial" w:hAnsi="Arial"/>
                <w:iCs/>
                <w:sz w:val="20"/>
              </w:rPr>
              <w:t>Communications, Policy, Healthy Workplace Advisory group, Attraction &amp; Retention working group</w:t>
            </w:r>
          </w:p>
        </w:tc>
      </w:tr>
    </w:tbl>
    <w:p>
      <w:pPr>
        <w:pStyle w:val="Normal"/>
        <w:rPr>
          <w:rFonts w:cs="Arial"/>
        </w:rPr>
      </w:pPr>
      <w:r>
        <w:rPr>
          <w:rFonts w:cs="Arial"/>
        </w:rPr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7830"/>
      </w:tblGrid>
      <w:tr>
        <w:trPr>
          <w:cantSplit w:val="false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Contents1"/>
              <w:spacing w:before="40" w:after="4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2.0 Business reasons for project</w:t>
            </w:r>
          </w:p>
        </w:tc>
      </w:tr>
      <w:tr>
        <w:trPr>
          <w:trHeight w:val="1601" w:hRule="atLeast"/>
          <w:cantSplit w:val="false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Improve government’s ability to attract and recruit high quality candidates and to compete more effectively (with the private sector and other levels of government for candidates)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Respond to the level of employee engagement and employee perceptions relayed though the corporate employee surveys.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An element of the Corporate Human Resource Plan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Component of a healthy workplace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Element of the Public Service Commission’s Business Plan for 2006/2007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Complements and builds upon existing departmental recognition activities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Complements corporate human resource values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Element of performance management</w:t>
            </w:r>
          </w:p>
        </w:tc>
      </w:tr>
    </w:tbl>
    <w:p>
      <w:pPr>
        <w:pStyle w:val="Normal"/>
        <w:rPr>
          <w:rFonts w:cs="Arial"/>
        </w:rPr>
      </w:pPr>
      <w:r>
        <w:rPr>
          <w:rFonts w:cs="Arial"/>
        </w:rPr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7830"/>
      </w:tblGrid>
      <w:tr>
        <w:trPr>
          <w:cantSplit w:val="false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caps/>
                <w:sz w:val="20"/>
              </w:rPr>
            </w:pPr>
            <w:r>
              <w:rPr>
                <w:rFonts w:cs="Arial" w:ascii="Arial" w:hAnsi="Arial"/>
                <w:b/>
                <w:caps/>
                <w:sz w:val="20"/>
              </w:rPr>
              <w:t>3.0 Project OBJECTIVES (purpose)</w:t>
            </w:r>
          </w:p>
        </w:tc>
      </w:tr>
      <w:tr>
        <w:trPr>
          <w:cantSplit w:val="false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Overall, to create a workplace culture that includes regular recognition and feedback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To recognize employees for their high-quality service and commitment to public service 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 reinforce linkages between employee performance and department business goals to achieve corporate goals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 develop tools, guidelines and support for departments to assist with departmental recognition activities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 develop and implement corporate recognition activities</w:t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0270"/>
      </w:tblGrid>
      <w:tr>
        <w:trPr>
          <w:tblHeader w:val="true"/>
          <w:cantSplit w:val="false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caps/>
                <w:sz w:val="20"/>
              </w:rPr>
            </w:pPr>
            <w:r>
              <w:rPr>
                <w:rFonts w:cs="Arial" w:ascii="Arial" w:hAnsi="Arial"/>
                <w:b/>
                <w:caps/>
                <w:sz w:val="20"/>
              </w:rPr>
              <w:t>4.0 Project Scope</w:t>
            </w:r>
          </w:p>
        </w:tc>
      </w:tr>
      <w:tr>
        <w:trPr>
          <w:cantSplit w:val="false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 include recognition activities for all government departments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 address two components of recognition - a corporate component and a department component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Includes guidelines to govern corporate and department activities 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Does not include mandatory requirements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Framework, research summary, guidelines and tools to be developed and implemented by March 2007</w:t>
            </w:r>
          </w:p>
        </w:tc>
      </w:tr>
    </w:tbl>
    <w:p>
      <w:pPr>
        <w:pStyle w:val="Salutation"/>
        <w:spacing w:lineRule="auto" w:line="240" w:before="0" w:after="0"/>
        <w:rPr>
          <w:rFonts w:cs="Arial" w:ascii="Arial" w:hAnsi="Arial"/>
        </w:rPr>
      </w:pPr>
      <w:r>
        <w:rPr>
          <w:rFonts w:cs="Arial" w:ascii="Arial" w:hAnsi="Arial"/>
        </w:rPr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127"/>
        <w:gridCol w:w="8143"/>
      </w:tblGrid>
      <w:tr>
        <w:trPr>
          <w:cantSplit w:val="false"/>
        </w:trPr>
        <w:tc>
          <w:tcPr>
            <w:tcW w:w="10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caps/>
                <w:sz w:val="20"/>
              </w:rPr>
            </w:pPr>
            <w:r>
              <w:rPr>
                <w:rFonts w:cs="Arial" w:ascii="Arial" w:hAnsi="Arial"/>
                <w:b/>
                <w:caps/>
                <w:sz w:val="20"/>
              </w:rPr>
              <w:t>5.0 key Project DELIVERABLES</w:t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Name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Description</w:t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iCs/>
                <w:sz w:val="20"/>
              </w:rPr>
            </w:pPr>
            <w:r>
              <w:rPr>
                <w:rFonts w:cs="Arial" w:ascii="Arial" w:hAnsi="Arial"/>
                <w:iCs/>
                <w:sz w:val="20"/>
              </w:rPr>
              <w:t>Framework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sz w:val="20"/>
              </w:rPr>
            </w:pPr>
            <w:r>
              <w:rPr>
                <w:rFonts w:eastAsia="Arial" w:cs="Arial"/>
                <w:i w:val="false"/>
                <w:sz w:val="20"/>
              </w:rPr>
              <w:t xml:space="preserve"> </w:t>
            </w:r>
            <w:r>
              <w:rPr>
                <w:rFonts w:cs="Arial"/>
                <w:i w:val="false"/>
                <w:sz w:val="20"/>
              </w:rPr>
              <w:t>Overall roadmap outlining key components of recognition activities</w:t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Project charter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Logic Model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Outlines key activities, outcomes and measures</w:t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Project backgrounder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 supplement to the project charter outlining definitions and outcomes</w:t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Research summary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 include general, jurisdictional and corporate research</w:t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Guidelines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 include general program guidelines and financial guidelines</w:t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Tools and resources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 include templates, guides, sample surveys, quotes, tips, etc… for use by departments</w:t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Communication/ Implementation plan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Communication of framework, tools resources to stakeholder groups, communication plan</w:t>
            </w:r>
          </w:p>
        </w:tc>
      </w:tr>
      <w:tr>
        <w:trPr>
          <w:cantSplit w:val="false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Website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To contain framework, guidelines, general information, tools and resources for use by departments, along with information on current activities/events.</w:t>
            </w:r>
          </w:p>
        </w:tc>
      </w:tr>
    </w:tbl>
    <w:p>
      <w:pPr>
        <w:pStyle w:val="Normal"/>
        <w:rPr>
          <w:rFonts w:cs="Arial"/>
          <w:b/>
        </w:rPr>
      </w:pPr>
      <w:r>
        <w:rPr>
          <w:rFonts w:cs="Arial"/>
          <w:b/>
        </w:rPr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93"/>
        <w:gridCol w:w="6095"/>
        <w:gridCol w:w="3182"/>
      </w:tblGrid>
      <w:tr>
        <w:trPr>
          <w:tblHeader w:val="true"/>
          <w:cantSplit w:val="false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caps/>
                <w:sz w:val="20"/>
              </w:rPr>
            </w:pPr>
            <w:r>
              <w:rPr>
                <w:rFonts w:cs="Arial" w:ascii="Arial" w:hAnsi="Arial"/>
                <w:b/>
                <w:caps/>
                <w:sz w:val="20"/>
              </w:rPr>
              <w:t>6.0 Milestone dates</w:t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Item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Major Events / Milestones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 xml:space="preserve">Dates </w:t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Salutation"/>
              <w:spacing w:lineRule="auto" w:line="240" w:before="40" w:after="40"/>
              <w:rPr>
                <w:rFonts w:cs="Arial" w:ascii="Arial" w:hAnsi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Develop framework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Complete a research summary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Develop guidelines (general and financial)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Consult with departmental reps (i.e. Health, Tourism), Attraction &amp; Retention Working Group, Healthy Workplace Advisory Group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Networking/Information event for all departments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Develop department toolkit, templates, resources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 xml:space="preserve">Implementation and communication to stakeholder groups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Website launch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Long Service Awards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10.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Premiers Award of Excellence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11.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Framework evaluation, consultations, lessons learned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cantSplit w:val="fals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12.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Premiers Award of Excellence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080"/>
        <w:gridCol w:w="9190"/>
      </w:tblGrid>
      <w:tr>
        <w:trPr>
          <w:cantSplit w:val="false"/>
        </w:trPr>
        <w:tc>
          <w:tcPr>
            <w:tcW w:w="10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caps/>
                <w:sz w:val="20"/>
              </w:rPr>
            </w:pPr>
            <w:r>
              <w:rPr>
                <w:rFonts w:cs="Arial" w:ascii="Arial" w:hAnsi="Arial"/>
                <w:b/>
                <w:caps/>
                <w:sz w:val="20"/>
              </w:rPr>
              <w:t>7.0 key ISSUEs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2F2F2" w:val="clear"/>
            <w:tcMar>
              <w:left w:w="103" w:type="dxa"/>
            </w:tcMar>
          </w:tcPr>
          <w:p>
            <w:pPr>
              <w:pStyle w:val="Contents1"/>
              <w:spacing w:before="40" w:after="40"/>
              <w:rPr>
                <w:rFonts w:cs="Arial" w:ascii="Arial" w:hAnsi="Arial"/>
                <w:caps w:val="false"/>
                <w:smallCaps w:val="false"/>
                <w:szCs w:val="24"/>
              </w:rPr>
            </w:pPr>
            <w:r>
              <w:rPr>
                <w:rFonts w:cs="Arial" w:ascii="Arial" w:hAnsi="Arial"/>
                <w:caps w:val="false"/>
                <w:smallCaps w:val="false"/>
                <w:szCs w:val="24"/>
              </w:rPr>
              <w:t>Severity</w:t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Description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Salutation"/>
              <w:snapToGrid w:val="false"/>
              <w:spacing w:lineRule="auto" w:line="240" w:before="40" w:after="40"/>
              <w:rPr>
                <w:rFonts w:cs="Arial" w:ascii="Times New Roman" w:hAnsi="Times New Roman"/>
                <w:b/>
                <w:sz w:val="20"/>
                <w:szCs w:val="24"/>
              </w:rPr>
            </w:pPr>
            <w:r>
              <w:rPr>
                <w:rFonts w:cs="Arial" w:ascii="Times New Roman" w:hAnsi="Times New Roman"/>
                <w:b/>
                <w:sz w:val="20"/>
                <w:szCs w:val="24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Different levels of implementation and buy-in; some departments have programs and others have not.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Departmental recognition activities are not mandatory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Buy-in from HR community and managers to take ownership of departmental activities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Maintain momentum and sustainability of activities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Timelines around the coordination of guideline development with development of the healthy workplace policy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Timelines around coordinating the recognition framework implementation with the attraction and retention framework implementation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Employee and manager perceptions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Public perceptions</w:t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080"/>
        <w:gridCol w:w="9190"/>
      </w:tblGrid>
      <w:tr>
        <w:trPr>
          <w:cantSplit w:val="false"/>
        </w:trPr>
        <w:tc>
          <w:tcPr>
            <w:tcW w:w="10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8.0 RISKS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Severity</w:t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Description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Support and buy-in of framework, guidelines and tools from the HR community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Support and buy-in of framework, guidelines and tools from managers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Header"/>
              <w:spacing w:before="40" w:after="40"/>
              <w:rPr>
                <w:rFonts w:cs="Arial"/>
                <w:i w:val="false"/>
                <w:iCs/>
                <w:sz w:val="20"/>
              </w:rPr>
            </w:pPr>
            <w:r>
              <w:rPr>
                <w:rFonts w:cs="Arial"/>
                <w:i w:val="false"/>
                <w:iCs/>
                <w:sz w:val="20"/>
              </w:rPr>
              <w:t>Support and buy-in of framework, guidelines and tools from employees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Implementation timelines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Availability of supporting resources (i.e. communication, policy)</w:t>
            </w:r>
          </w:p>
        </w:tc>
      </w:tr>
      <w:tr>
        <w:trPr>
          <w:cantSplit w:val="false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Treasury and Policy Board support of guidelines</w:t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0270"/>
      </w:tblGrid>
      <w:tr>
        <w:trPr>
          <w:tblHeader w:val="true"/>
          <w:cantSplit w:val="false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caps/>
                <w:sz w:val="20"/>
              </w:rPr>
            </w:pPr>
            <w:r>
              <w:rPr>
                <w:rFonts w:cs="Arial" w:ascii="Arial" w:hAnsi="Arial"/>
                <w:b/>
                <w:caps/>
                <w:sz w:val="20"/>
              </w:rPr>
              <w:t>9.0 Project’s criteria for success (must be measurable)</w:t>
            </w:r>
          </w:p>
        </w:tc>
      </w:tr>
      <w:tr>
        <w:trPr>
          <w:cantSplit w:val="false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ind w:left="490" w:right="0" w:hanging="32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Increase awareness and consistent practice of recognition throughout the organization (post-presentation evaluations, employee survey results)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Enhance Government of Nova Scotia’s preferred employer status (public perception studies)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Create a healthier and more supportive working environment (employee survey results)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Improved job satisfaction and employee engagement (employee survey results)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ind w:left="490" w:right="0" w:hanging="32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Improved awareness and linkages between department business plans and individual and team performance (employee survey results)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Increased participation in corporate recognition activities (attendance, # of nominations received)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ind w:left="490" w:right="0" w:hanging="32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Increased favourable employee perceptions of feeling valued for their contributions. (employee survey results)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ind w:left="490" w:right="0" w:hanging="32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Increased favourable employee perceptions of being recognized for a job well done. (employee survey results)</w:t>
            </w:r>
          </w:p>
        </w:tc>
      </w:tr>
    </w:tbl>
    <w:p>
      <w:pPr>
        <w:pStyle w:val="Normal"/>
        <w:jc w:val="both"/>
        <w:rPr>
          <w:rFonts w:cs="Arial" w:ascii="Arial" w:hAnsi="Arial"/>
          <w:sz w:val="20"/>
        </w:rPr>
      </w:pPr>
      <w:r>
        <w:rPr>
          <w:rFonts w:cs="Arial" w:ascii="Arial" w:hAnsi="Arial"/>
          <w:sz w:val="20"/>
        </w:rPr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0270"/>
      </w:tblGrid>
      <w:tr>
        <w:trPr>
          <w:tblHeader w:val="true"/>
          <w:cantSplit w:val="false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caps/>
                <w:sz w:val="20"/>
              </w:rPr>
            </w:pPr>
            <w:r>
              <w:rPr>
                <w:rFonts w:cs="Arial" w:ascii="Arial" w:hAnsi="Arial"/>
                <w:b/>
                <w:caps/>
                <w:sz w:val="20"/>
              </w:rPr>
              <w:t>10.0 critical success factors</w:t>
            </w:r>
          </w:p>
        </w:tc>
      </w:tr>
      <w:tr>
        <w:trPr>
          <w:cantSplit w:val="false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Buy-in and support from senior leaders, HR community, managers, employees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Effective communication 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PSC and department collaboration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Employee input into development and implementation of recognition activities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Employee awareness of department purpose, priorities, objectives, goals and values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Recognition efforts need to be: timely; meaningful; fair; inclusive</w:t>
            </w:r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Activities are supportive of organizational values</w:t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0270"/>
      </w:tblGrid>
      <w:tr>
        <w:trPr>
          <w:tblHeader w:val="true"/>
          <w:cantSplit w:val="false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2F2F2" w:val="clear"/>
            <w:tcMar>
              <w:left w:w="103" w:type="dxa"/>
            </w:tcMar>
          </w:tcPr>
          <w:p>
            <w:pPr>
              <w:pStyle w:val="Normal"/>
              <w:spacing w:before="40" w:after="40"/>
              <w:rPr>
                <w:rFonts w:cs="Arial" w:ascii="Arial" w:hAnsi="Arial"/>
                <w:b/>
                <w:caps/>
                <w:sz w:val="20"/>
              </w:rPr>
            </w:pPr>
            <w:r>
              <w:rPr>
                <w:rFonts w:cs="Arial" w:ascii="Arial" w:hAnsi="Arial"/>
                <w:b/>
                <w:caps/>
                <w:sz w:val="20"/>
              </w:rPr>
              <w:t>11.0 Signoff</w:t>
            </w:r>
          </w:p>
        </w:tc>
      </w:tr>
      <w:tr>
        <w:trPr>
          <w:cantSplit w:val="false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Project Sponsor:  </w:t>
            </w:r>
          </w:p>
          <w:p>
            <w:pPr>
              <w:pStyle w:val="Normal"/>
              <w:spacing w:before="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spacing w:before="40" w:after="40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Date:  </w:t>
            </w:r>
          </w:p>
        </w:tc>
      </w:tr>
    </w:tbl>
    <w:p>
      <w:pPr>
        <w:pStyle w:val="Footnote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 w:ascii="Arial" w:hAnsi="Arial"/>
          <w:sz w:val="20"/>
        </w:rPr>
      </w:pPr>
      <w:r>
        <w:rPr>
          <w:rFonts w:cs="Arial" w:ascii="Arial" w:hAnsi="Arial"/>
          <w:sz w:val="20"/>
        </w:rPr>
      </w:r>
    </w:p>
    <w:sectPr>
      <w:type w:val="nextPage"/>
      <w:pgSz w:w="12240" w:h="15840"/>
      <w:pgMar w:left="1010" w:right="340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Futura Md BT">
    <w:charset w:val="00"/>
    <w:family w:val="swiss"/>
    <w:pitch w:val="variable"/>
  </w:font>
  <w:font w:name="Wingdings">
    <w:charset w:val="02"/>
    <w:family w:val="auto"/>
    <w:pitch w:val="variable"/>
  </w:font>
  <w:font w:name="Courier New">
    <w:charset w:val="00"/>
    <w:family w:val="modern"/>
    <w:pitch w:val="default"/>
  </w:font>
  <w:font w:name="Symbo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">
    <w:altName w:val="Times New Roman"/>
    <w:charset w:val="00"/>
    <w:family w:val="roman"/>
    <w:pitch w:val="variable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"/>
      <w:lvlJc w:val="left"/>
      <w:pPr>
        <w:tabs>
          <w:tab w:val="num" w:pos="432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530"/>
        </w:tabs>
        <w:ind w:left="284" w:hanging="114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"/>
      <w:lvlJc w:val="left"/>
      <w:pPr>
        <w:tabs>
          <w:tab w:val="num" w:pos="432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pPr>
      <w:keepNext/>
      <w:pBdr>
        <w:top w:val="nil"/>
        <w:left w:val="nil"/>
        <w:bottom w:val="thickThinSmallGap" w:sz="24" w:space="1" w:color="000000"/>
        <w:right w:val="nil"/>
      </w:pBdr>
      <w:tabs>
        <w:tab w:val="left" w:pos="720" w:leader="none"/>
      </w:tabs>
      <w:spacing w:before="240" w:after="60"/>
    </w:pPr>
    <w:rPr>
      <w:rFonts w:ascii="Futura Md BT" w:hAnsi="Futura Md BT" w:cs="Arial"/>
      <w:b/>
      <w:smallCaps/>
      <w:sz w:val="28"/>
      <w:szCs w:val="20"/>
    </w:rPr>
  </w:style>
  <w:style w:type="paragraph" w:styleId="Heading2">
    <w:name w:val="Heading 2"/>
    <w:basedOn w:val="Normal"/>
    <w:next w:val="Normal"/>
    <w:pPr>
      <w:keepNext/>
      <w:numPr>
        <w:ilvl w:val="1"/>
        <w:numId w:val="3"/>
      </w:numPr>
      <w:outlineLvl w:val="1"/>
      <w:outlineLvl w:val="1"/>
    </w:pPr>
    <w:rPr>
      <w:rFonts w:ascii="Arial" w:hAnsi="Arial" w:cs="Arial"/>
      <w:b/>
      <w:smallCaps/>
      <w:szCs w:val="20"/>
    </w:rPr>
  </w:style>
  <w:style w:type="paragraph" w:styleId="Heading3">
    <w:name w:val="Heading 3"/>
    <w:basedOn w:val="Normal"/>
    <w:next w:val="Normal"/>
    <w:pPr>
      <w:keepNext/>
      <w:numPr>
        <w:ilvl w:val="2"/>
        <w:numId w:val="3"/>
      </w:numPr>
      <w:outlineLvl w:val="2"/>
      <w:outlineLvl w:val="2"/>
    </w:pPr>
    <w:rPr>
      <w:rFonts w:ascii="Arial" w:hAnsi="Arial" w:cs="Arial"/>
      <w:b/>
      <w:smallCaps/>
      <w:szCs w:val="20"/>
    </w:rPr>
  </w:style>
  <w:style w:type="paragraph" w:styleId="Heading4">
    <w:name w:val="Heading 4"/>
    <w:basedOn w:val="Normal"/>
    <w:next w:val="Normal"/>
    <w:pPr>
      <w:keepNext/>
      <w:numPr>
        <w:ilvl w:val="3"/>
        <w:numId w:val="3"/>
      </w:numPr>
      <w:outlineLvl w:val="3"/>
      <w:outlineLvl w:val="3"/>
    </w:pPr>
    <w:rPr>
      <w:rFonts w:ascii="Arial" w:hAnsi="Arial" w:cs="Arial"/>
      <w:b/>
      <w:smallCaps/>
      <w:szCs w:val="20"/>
    </w:rPr>
  </w:style>
  <w:style w:type="paragraph" w:styleId="Heading5">
    <w:name w:val="Heading 5"/>
    <w:basedOn w:val="Normal"/>
    <w:next w:val="Normal"/>
    <w:pPr>
      <w:numPr>
        <w:ilvl w:val="4"/>
        <w:numId w:val="3"/>
      </w:numPr>
      <w:outlineLvl w:val="4"/>
      <w:outlineLvl w:val="4"/>
    </w:pPr>
    <w:rPr>
      <w:rFonts w:ascii="Arial" w:hAnsi="Arial" w:cs="Arial"/>
      <w:b/>
      <w:smallCaps/>
      <w:szCs w:val="20"/>
    </w:rPr>
  </w:style>
  <w:style w:type="paragraph" w:styleId="Heading6">
    <w:name w:val="Heading 6"/>
    <w:basedOn w:val="Normal"/>
    <w:next w:val="Normal"/>
    <w:pPr>
      <w:numPr>
        <w:ilvl w:val="5"/>
        <w:numId w:val="3"/>
      </w:numPr>
      <w:spacing w:before="240" w:after="60"/>
      <w:outlineLvl w:val="5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pPr>
      <w:numPr>
        <w:ilvl w:val="6"/>
        <w:numId w:val="3"/>
      </w:numPr>
      <w:spacing w:before="240" w:after="60"/>
      <w:outlineLvl w:val="6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pPr>
      <w:numPr>
        <w:ilvl w:val="7"/>
        <w:numId w:val="3"/>
      </w:numPr>
      <w:spacing w:before="240" w:after="60"/>
      <w:outlineLvl w:val="7"/>
      <w:outlineLvl w:val="7"/>
    </w:pPr>
    <w:rPr>
      <w:rFonts w:ascii="Arial" w:hAnsi="Arial" w:cs="Arial"/>
      <w:i/>
      <w:sz w:val="20"/>
      <w:szCs w:val="20"/>
    </w:rPr>
  </w:style>
  <w:style w:type="paragraph" w:styleId="Heading9">
    <w:name w:val="Heading 9"/>
    <w:basedOn w:val="Normal"/>
    <w:next w:val="Normal"/>
    <w:pPr>
      <w:numPr>
        <w:ilvl w:val="8"/>
        <w:numId w:val="3"/>
      </w:numPr>
      <w:spacing w:before="240" w:after="60"/>
      <w:outlineLvl w:val="8"/>
      <w:outlineLvl w:val="8"/>
    </w:pPr>
    <w:rPr>
      <w:rFonts w:ascii="Arial" w:hAnsi="Arial" w:cs="Arial"/>
      <w:b/>
      <w:i/>
      <w:sz w:val="18"/>
      <w:szCs w:val="20"/>
    </w:rPr>
  </w:style>
  <w:style w:type="character" w:styleId="WW8Num1z0">
    <w:name w:val="WW8Num1z0"/>
    <w:rPr>
      <w:rFonts w:ascii="Wingdings" w:hAnsi="Wingdings" w:cs="Wingdings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3">
    <w:name w:val="WW8Num1z3"/>
    <w:rPr>
      <w:rFonts w:ascii="Symbol" w:hAnsi="Symbol" w:cs="Symbol"/>
    </w:rPr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320" w:leader="none"/>
        <w:tab w:val="right" w:pos="9360" w:leader="none"/>
      </w:tabs>
    </w:pPr>
    <w:rPr>
      <w:rFonts w:ascii="Arial" w:hAnsi="Arial" w:cs="Arial"/>
      <w:i/>
      <w:sz w:val="16"/>
      <w:szCs w:val="20"/>
    </w:rPr>
  </w:style>
  <w:style w:type="paragraph" w:styleId="Contents1">
    <w:name w:val="Contents 1"/>
    <w:basedOn w:val="Normal"/>
    <w:next w:val="Normal"/>
    <w:pPr>
      <w:spacing w:before="120" w:after="120"/>
    </w:pPr>
    <w:rPr>
      <w:b/>
      <w:caps/>
      <w:sz w:val="20"/>
      <w:szCs w:val="20"/>
    </w:rPr>
  </w:style>
  <w:style w:type="paragraph" w:styleId="Footnote">
    <w:name w:val="Footnote"/>
    <w:basedOn w:val="Normal"/>
    <w:pPr>
      <w:jc w:val="both"/>
    </w:pPr>
    <w:rPr>
      <w:rFonts w:ascii="Arial" w:hAnsi="Arial" w:cs="Arial"/>
      <w:sz w:val="20"/>
      <w:szCs w:val="20"/>
      <w:lang w:val="en-CA"/>
    </w:rPr>
  </w:style>
  <w:style w:type="paragraph" w:styleId="Salutation">
    <w:name w:val="Salutation"/>
    <w:basedOn w:val="Normal"/>
    <w:pPr>
      <w:spacing w:lineRule="atLeast" w:line="260" w:before="260" w:after="0"/>
    </w:pPr>
    <w:rPr>
      <w:rFonts w:ascii="Times" w:hAnsi="Times" w:cs="Times"/>
      <w:szCs w:val="20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300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2007-03-23T22:53:00Z</dcterms:created>
  <dc:creator>palermml</dc:creator>
  <dc:language>en-IN</dc:language>
  <cp:lastModifiedBy>palermml</cp:lastModifiedBy>
  <dcterms:modified xsi:type="dcterms:W3CDTF">2007-03-23T22:58:00Z</dcterms:modified>
  <cp:revision>1</cp:revision>
  <dc:title>Project Charter Model Sample</dc:title>
</cp:coreProperties>
</file>